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A62F" w14:textId="77777777" w:rsidR="00901A3A" w:rsidRDefault="001F5569" w:rsidP="001F5569">
      <w:pPr>
        <w:rPr>
          <w:rFonts w:cs="Calibri"/>
          <w:b/>
          <w:sz w:val="24"/>
          <w:szCs w:val="24"/>
        </w:rPr>
      </w:pPr>
      <w:r>
        <w:rPr>
          <w:rFonts w:cs="Calibri"/>
          <w:b/>
          <w:sz w:val="24"/>
          <w:szCs w:val="24"/>
        </w:rPr>
        <w:t xml:space="preserve"> </w:t>
      </w:r>
      <w:r w:rsidR="00A95D99">
        <w:rPr>
          <w:rFonts w:cs="Calibri"/>
          <w:b/>
          <w:sz w:val="24"/>
          <w:szCs w:val="24"/>
        </w:rPr>
        <w:t>Recovery Plan or Project</w:t>
      </w:r>
      <w:r>
        <w:rPr>
          <w:rFonts w:cs="Calibri"/>
          <w:b/>
          <w:sz w:val="24"/>
          <w:szCs w:val="24"/>
        </w:rPr>
        <w:t xml:space="preserve"> - “</w:t>
      </w:r>
      <w:r w:rsidR="00A95D99">
        <w:rPr>
          <w:rFonts w:cs="Calibri"/>
          <w:b/>
          <w:sz w:val="24"/>
          <w:szCs w:val="24"/>
        </w:rPr>
        <w:t>Mayor’s Task Force on Economic Recovery</w:t>
      </w:r>
      <w:r>
        <w:rPr>
          <w:rFonts w:cs="Calibri"/>
          <w:b/>
          <w:sz w:val="24"/>
          <w:szCs w:val="24"/>
        </w:rPr>
        <w:t xml:space="preserve">” </w:t>
      </w:r>
    </w:p>
    <w:p w14:paraId="71A54558" w14:textId="77777777" w:rsidR="00A95D99" w:rsidRDefault="00BA6738" w:rsidP="001F5569">
      <w:hyperlink r:id="rId5" w:history="1">
        <w:r w:rsidR="00A95D99" w:rsidRPr="004F2711">
          <w:rPr>
            <w:rStyle w:val="Hyperlink"/>
          </w:rPr>
          <w:t>https://investinhamilton.ca/economic-recovery-task-force/</w:t>
        </w:r>
      </w:hyperlink>
      <w:r w:rsidR="00A95D99">
        <w:t xml:space="preserve"> </w:t>
      </w:r>
    </w:p>
    <w:p w14:paraId="6C622CDD" w14:textId="77777777" w:rsidR="001F5569" w:rsidRPr="00066784" w:rsidRDefault="001F5569" w:rsidP="001F5569">
      <w:pPr>
        <w:rPr>
          <w:rFonts w:cs="Calibri"/>
          <w:b/>
          <w:sz w:val="24"/>
          <w:szCs w:val="24"/>
        </w:rPr>
      </w:pPr>
      <w:r>
        <w:rPr>
          <w:rFonts w:cs="Calibri"/>
          <w:b/>
          <w:sz w:val="24"/>
          <w:szCs w:val="24"/>
        </w:rPr>
        <w:t>1. Purpose of Project (including intended outcomes)</w:t>
      </w:r>
    </w:p>
    <w:p w14:paraId="0D6009B5" w14:textId="77777777" w:rsidR="00A95D99" w:rsidRPr="00A95D99" w:rsidRDefault="00A95D99" w:rsidP="00A95D99">
      <w:pPr>
        <w:kinsoku w:val="0"/>
        <w:overflowPunct w:val="0"/>
        <w:autoSpaceDE w:val="0"/>
        <w:autoSpaceDN w:val="0"/>
        <w:adjustRightInd w:val="0"/>
        <w:spacing w:after="0" w:line="240" w:lineRule="auto"/>
        <w:ind w:left="39" w:right="-29"/>
        <w:rPr>
          <w:rFonts w:cs="Calibri"/>
          <w:sz w:val="24"/>
          <w:szCs w:val="24"/>
        </w:rPr>
      </w:pPr>
      <w:r w:rsidRPr="00A95D99">
        <w:rPr>
          <w:rFonts w:cs="Calibri"/>
          <w:sz w:val="24"/>
          <w:szCs w:val="24"/>
        </w:rPr>
        <w:t>The Mayor’s Task Force on Economic Recovery provided multi-sectoral leadership and direction to guide Hamilton’s economic recovery in the immediate aftermath of the COVID-19 pandemic.  It has formulated an aggressive, action driven plan to position the City of Hamilton now, for long-term, sustainable and equitable economic recovery.</w:t>
      </w:r>
    </w:p>
    <w:p w14:paraId="38611C20" w14:textId="77777777" w:rsidR="00A95D99" w:rsidRPr="00A95D99" w:rsidRDefault="00A95D99" w:rsidP="00A95D99">
      <w:pPr>
        <w:kinsoku w:val="0"/>
        <w:overflowPunct w:val="0"/>
        <w:autoSpaceDE w:val="0"/>
        <w:autoSpaceDN w:val="0"/>
        <w:adjustRightInd w:val="0"/>
        <w:spacing w:after="0" w:line="240" w:lineRule="auto"/>
        <w:ind w:left="39" w:right="-29"/>
        <w:rPr>
          <w:rFonts w:cs="Calibri"/>
          <w:sz w:val="24"/>
          <w:szCs w:val="24"/>
        </w:rPr>
      </w:pPr>
    </w:p>
    <w:p w14:paraId="0080DA62" w14:textId="77777777" w:rsidR="00A95D99" w:rsidRPr="00A95D99" w:rsidRDefault="00A95D99" w:rsidP="00A95D99">
      <w:pPr>
        <w:kinsoku w:val="0"/>
        <w:overflowPunct w:val="0"/>
        <w:autoSpaceDE w:val="0"/>
        <w:autoSpaceDN w:val="0"/>
        <w:adjustRightInd w:val="0"/>
        <w:spacing w:after="0" w:line="240" w:lineRule="auto"/>
        <w:ind w:left="39" w:right="-29"/>
        <w:rPr>
          <w:rFonts w:cs="Calibri"/>
          <w:sz w:val="24"/>
          <w:szCs w:val="24"/>
        </w:rPr>
      </w:pPr>
      <w:r w:rsidRPr="00A95D99">
        <w:rPr>
          <w:rFonts w:cs="Calibri"/>
          <w:sz w:val="24"/>
          <w:szCs w:val="24"/>
        </w:rPr>
        <w:t>The Task Force</w:t>
      </w:r>
      <w:r>
        <w:rPr>
          <w:rFonts w:cs="Calibri"/>
          <w:sz w:val="24"/>
          <w:szCs w:val="24"/>
        </w:rPr>
        <w:t xml:space="preserve"> aimed to</w:t>
      </w:r>
      <w:r w:rsidRPr="00A95D99">
        <w:rPr>
          <w:rFonts w:cs="Calibri"/>
          <w:sz w:val="24"/>
          <w:szCs w:val="24"/>
        </w:rPr>
        <w:t>:</w:t>
      </w:r>
    </w:p>
    <w:p w14:paraId="6A46A483" w14:textId="77777777" w:rsidR="00A95D99" w:rsidRPr="00A95D99" w:rsidRDefault="00A95D99" w:rsidP="00A95D99">
      <w:pPr>
        <w:kinsoku w:val="0"/>
        <w:overflowPunct w:val="0"/>
        <w:autoSpaceDE w:val="0"/>
        <w:autoSpaceDN w:val="0"/>
        <w:adjustRightInd w:val="0"/>
        <w:spacing w:after="0" w:line="240" w:lineRule="auto"/>
        <w:ind w:left="39" w:right="-29"/>
        <w:rPr>
          <w:rFonts w:cs="Calibri"/>
          <w:sz w:val="24"/>
          <w:szCs w:val="24"/>
        </w:rPr>
      </w:pPr>
    </w:p>
    <w:p w14:paraId="3322174C" w14:textId="77777777" w:rsidR="00A95D99" w:rsidRPr="00A95D99" w:rsidRDefault="00A95D99" w:rsidP="00A95D99">
      <w:pPr>
        <w:pStyle w:val="ListParagraph"/>
        <w:numPr>
          <w:ilvl w:val="0"/>
          <w:numId w:val="1"/>
        </w:numPr>
        <w:kinsoku w:val="0"/>
        <w:overflowPunct w:val="0"/>
        <w:autoSpaceDE w:val="0"/>
        <w:autoSpaceDN w:val="0"/>
        <w:adjustRightInd w:val="0"/>
        <w:spacing w:after="0" w:line="240" w:lineRule="auto"/>
        <w:ind w:right="-29"/>
        <w:rPr>
          <w:rFonts w:cs="Calibri"/>
          <w:sz w:val="24"/>
          <w:szCs w:val="24"/>
        </w:rPr>
      </w:pPr>
      <w:r w:rsidRPr="00A95D99">
        <w:rPr>
          <w:rFonts w:cs="Calibri"/>
          <w:sz w:val="24"/>
          <w:szCs w:val="24"/>
        </w:rPr>
        <w:t>Develop an action driven plan to position the City of Hamilton now, for long-term, sustainable and equitable economic recovery.</w:t>
      </w:r>
    </w:p>
    <w:p w14:paraId="3DE49E85" w14:textId="77777777" w:rsidR="00A95D99" w:rsidRPr="00A95D99" w:rsidRDefault="00A95D99" w:rsidP="00A95D99">
      <w:pPr>
        <w:pStyle w:val="ListParagraph"/>
        <w:numPr>
          <w:ilvl w:val="0"/>
          <w:numId w:val="1"/>
        </w:numPr>
        <w:kinsoku w:val="0"/>
        <w:overflowPunct w:val="0"/>
        <w:autoSpaceDE w:val="0"/>
        <w:autoSpaceDN w:val="0"/>
        <w:adjustRightInd w:val="0"/>
        <w:spacing w:after="0" w:line="240" w:lineRule="auto"/>
        <w:ind w:right="-29"/>
        <w:rPr>
          <w:rFonts w:cs="Calibri"/>
          <w:sz w:val="24"/>
          <w:szCs w:val="24"/>
        </w:rPr>
      </w:pPr>
      <w:r w:rsidRPr="00A95D99">
        <w:rPr>
          <w:rFonts w:cs="Calibri"/>
          <w:sz w:val="24"/>
          <w:szCs w:val="24"/>
        </w:rPr>
        <w:t>Establish defined outcomes with specific deliverables to address the priority economic impacts of the pandemic confronting Hamilton based industry/businesses, employers and employees.</w:t>
      </w:r>
    </w:p>
    <w:p w14:paraId="06A21AFA" w14:textId="77777777" w:rsidR="00A95D99" w:rsidRPr="00A95D99" w:rsidRDefault="00A95D99" w:rsidP="00A95D99">
      <w:pPr>
        <w:pStyle w:val="ListParagraph"/>
        <w:numPr>
          <w:ilvl w:val="0"/>
          <w:numId w:val="1"/>
        </w:numPr>
        <w:kinsoku w:val="0"/>
        <w:overflowPunct w:val="0"/>
        <w:autoSpaceDE w:val="0"/>
        <w:autoSpaceDN w:val="0"/>
        <w:adjustRightInd w:val="0"/>
        <w:spacing w:after="0" w:line="240" w:lineRule="auto"/>
        <w:ind w:right="-29"/>
        <w:rPr>
          <w:rFonts w:cs="Calibri"/>
          <w:sz w:val="24"/>
          <w:szCs w:val="24"/>
        </w:rPr>
      </w:pPr>
      <w:r w:rsidRPr="00A95D99">
        <w:rPr>
          <w:rFonts w:cs="Calibri"/>
          <w:sz w:val="24"/>
          <w:szCs w:val="24"/>
        </w:rPr>
        <w:t>Identify issues and opportunities to convey to other levels of government.</w:t>
      </w:r>
    </w:p>
    <w:p w14:paraId="13F1A750" w14:textId="77777777" w:rsidR="00A95D99" w:rsidRPr="00A95D99" w:rsidRDefault="00A95D99" w:rsidP="00A95D99">
      <w:pPr>
        <w:pStyle w:val="ListParagraph"/>
        <w:numPr>
          <w:ilvl w:val="0"/>
          <w:numId w:val="1"/>
        </w:numPr>
        <w:kinsoku w:val="0"/>
        <w:overflowPunct w:val="0"/>
        <w:autoSpaceDE w:val="0"/>
        <w:autoSpaceDN w:val="0"/>
        <w:adjustRightInd w:val="0"/>
        <w:spacing w:after="0" w:line="240" w:lineRule="auto"/>
        <w:ind w:right="-29"/>
        <w:rPr>
          <w:rFonts w:cs="Calibri"/>
          <w:sz w:val="24"/>
          <w:szCs w:val="24"/>
        </w:rPr>
      </w:pPr>
      <w:r w:rsidRPr="00A95D99">
        <w:rPr>
          <w:rFonts w:cs="Calibri"/>
          <w:sz w:val="24"/>
          <w:szCs w:val="24"/>
        </w:rPr>
        <w:t>Provide advice and assistance in the implementation of the Task Force’s plan for economic recovery.</w:t>
      </w:r>
    </w:p>
    <w:p w14:paraId="38AC6E45" w14:textId="77777777" w:rsidR="001F5569" w:rsidRPr="00A95D99" w:rsidRDefault="00A95D99" w:rsidP="00A95D99">
      <w:pPr>
        <w:pStyle w:val="ListParagraph"/>
        <w:numPr>
          <w:ilvl w:val="0"/>
          <w:numId w:val="1"/>
        </w:numPr>
        <w:kinsoku w:val="0"/>
        <w:overflowPunct w:val="0"/>
        <w:autoSpaceDE w:val="0"/>
        <w:autoSpaceDN w:val="0"/>
        <w:adjustRightInd w:val="0"/>
        <w:spacing w:after="0" w:line="240" w:lineRule="auto"/>
        <w:ind w:right="-29"/>
        <w:rPr>
          <w:rFonts w:cs="Calibri"/>
          <w:iCs/>
          <w:sz w:val="24"/>
          <w:szCs w:val="24"/>
          <w:lang w:val="en-US"/>
        </w:rPr>
      </w:pPr>
      <w:r w:rsidRPr="00A95D99">
        <w:rPr>
          <w:rFonts w:cs="Calibri"/>
          <w:sz w:val="24"/>
          <w:szCs w:val="24"/>
        </w:rPr>
        <w:t>Provide advice and suggestions to the Mayor, Council and senior staff for specific City of Hamilton actions and responses.</w:t>
      </w:r>
    </w:p>
    <w:p w14:paraId="4A0F2E79" w14:textId="77777777" w:rsidR="00A95D99" w:rsidRPr="00A95D99" w:rsidRDefault="00A95D99" w:rsidP="00A95D99">
      <w:pPr>
        <w:pStyle w:val="ListParagraph"/>
        <w:kinsoku w:val="0"/>
        <w:overflowPunct w:val="0"/>
        <w:autoSpaceDE w:val="0"/>
        <w:autoSpaceDN w:val="0"/>
        <w:adjustRightInd w:val="0"/>
        <w:spacing w:after="0" w:line="240" w:lineRule="auto"/>
        <w:ind w:left="759" w:right="-29"/>
        <w:rPr>
          <w:rFonts w:cs="Calibri"/>
          <w:iCs/>
          <w:sz w:val="24"/>
          <w:szCs w:val="24"/>
          <w:lang w:val="en-US"/>
        </w:rPr>
      </w:pPr>
    </w:p>
    <w:p w14:paraId="4376B6E4" w14:textId="77777777" w:rsidR="001F5569" w:rsidRPr="00D63278" w:rsidRDefault="001F5569" w:rsidP="001F5569">
      <w:pPr>
        <w:kinsoku w:val="0"/>
        <w:overflowPunct w:val="0"/>
        <w:autoSpaceDE w:val="0"/>
        <w:autoSpaceDN w:val="0"/>
        <w:adjustRightInd w:val="0"/>
        <w:spacing w:after="0" w:line="240" w:lineRule="auto"/>
        <w:ind w:left="39" w:right="-29"/>
        <w:rPr>
          <w:rFonts w:cs="Calibri"/>
          <w:b/>
          <w:sz w:val="24"/>
          <w:szCs w:val="24"/>
        </w:rPr>
      </w:pPr>
      <w:r>
        <w:rPr>
          <w:rFonts w:cs="Calibri"/>
          <w:b/>
          <w:sz w:val="24"/>
          <w:szCs w:val="24"/>
        </w:rPr>
        <w:t xml:space="preserve">2. Effectiveness Meeting </w:t>
      </w:r>
      <w:r w:rsidRPr="00D63278">
        <w:rPr>
          <w:rFonts w:cs="Calibri"/>
          <w:b/>
          <w:sz w:val="24"/>
          <w:szCs w:val="24"/>
        </w:rPr>
        <w:t>Objective</w:t>
      </w:r>
      <w:r>
        <w:rPr>
          <w:rFonts w:cs="Calibri"/>
          <w:b/>
          <w:sz w:val="24"/>
          <w:szCs w:val="24"/>
        </w:rPr>
        <w:t>s</w:t>
      </w:r>
    </w:p>
    <w:p w14:paraId="3C5327FD" w14:textId="77777777" w:rsidR="001F5569" w:rsidRDefault="001F5569" w:rsidP="001F5569">
      <w:pPr>
        <w:kinsoku w:val="0"/>
        <w:overflowPunct w:val="0"/>
        <w:autoSpaceDE w:val="0"/>
        <w:autoSpaceDN w:val="0"/>
        <w:adjustRightInd w:val="0"/>
        <w:spacing w:after="0" w:line="240" w:lineRule="auto"/>
        <w:ind w:left="39" w:right="-29"/>
        <w:rPr>
          <w:rFonts w:cs="Calibri"/>
          <w:sz w:val="24"/>
          <w:szCs w:val="24"/>
        </w:rPr>
      </w:pPr>
    </w:p>
    <w:p w14:paraId="5D31E29C" w14:textId="4321B7C3" w:rsidR="00A95D99" w:rsidRPr="00A95D99" w:rsidRDefault="00A95D99" w:rsidP="00A95D99">
      <w:pPr>
        <w:spacing w:after="0"/>
        <w:rPr>
          <w:rFonts w:cs="Calibri"/>
          <w:sz w:val="24"/>
          <w:szCs w:val="24"/>
        </w:rPr>
      </w:pPr>
      <w:r w:rsidRPr="00A95D99">
        <w:rPr>
          <w:rFonts w:cs="Calibri"/>
          <w:sz w:val="24"/>
          <w:szCs w:val="24"/>
        </w:rPr>
        <w:t xml:space="preserve">To date, </w:t>
      </w:r>
      <w:r w:rsidR="00BA6738">
        <w:rPr>
          <w:rFonts w:cs="Calibri"/>
          <w:sz w:val="24"/>
          <w:szCs w:val="24"/>
        </w:rPr>
        <w:t>84%</w:t>
      </w:r>
      <w:bookmarkStart w:id="0" w:name="_GoBack"/>
      <w:bookmarkEnd w:id="0"/>
      <w:r w:rsidRPr="00A95D99">
        <w:rPr>
          <w:rFonts w:cs="Calibri"/>
          <w:sz w:val="24"/>
          <w:szCs w:val="24"/>
        </w:rPr>
        <w:t xml:space="preserve"> of the Recommendations have been implemented or </w:t>
      </w:r>
    </w:p>
    <w:p w14:paraId="5DCF625F" w14:textId="77777777" w:rsidR="001F5569" w:rsidRDefault="00A95D99" w:rsidP="00A95D99">
      <w:pPr>
        <w:spacing w:after="0"/>
        <w:rPr>
          <w:rFonts w:cs="Calibri"/>
          <w:sz w:val="24"/>
          <w:szCs w:val="24"/>
        </w:rPr>
      </w:pPr>
      <w:r w:rsidRPr="00A95D99">
        <w:rPr>
          <w:rFonts w:cs="Calibri"/>
          <w:sz w:val="24"/>
          <w:szCs w:val="24"/>
        </w:rPr>
        <w:t>brought forward through the 2021-2025 Economic Development Action Plan</w:t>
      </w:r>
      <w:r w:rsidR="00700FB7">
        <w:rPr>
          <w:rFonts w:cs="Calibri"/>
          <w:sz w:val="24"/>
          <w:szCs w:val="24"/>
        </w:rPr>
        <w:t xml:space="preserve"> (the Economic Development multi-year strategy)</w:t>
      </w:r>
      <w:r w:rsidRPr="00A95D99">
        <w:rPr>
          <w:rFonts w:cs="Calibri"/>
          <w:sz w:val="24"/>
          <w:szCs w:val="24"/>
        </w:rPr>
        <w:t>. In addition, various actions are ongoing with recent community collaborations and partnerships highlighting new and innovative ways to support local businesses and position Hamilton for the long-term recovery</w:t>
      </w:r>
    </w:p>
    <w:p w14:paraId="77FDBF55" w14:textId="77777777" w:rsidR="00700FB7" w:rsidRDefault="00700FB7" w:rsidP="00A95D99">
      <w:pPr>
        <w:spacing w:after="0"/>
        <w:rPr>
          <w:rFonts w:cs="Calibri"/>
          <w:sz w:val="24"/>
          <w:szCs w:val="24"/>
        </w:rPr>
      </w:pPr>
    </w:p>
    <w:p w14:paraId="5CA22480" w14:textId="77777777" w:rsidR="00700FB7" w:rsidRDefault="00700FB7" w:rsidP="00A95D99">
      <w:pPr>
        <w:spacing w:after="0"/>
        <w:rPr>
          <w:rFonts w:cs="Calibri"/>
          <w:sz w:val="24"/>
          <w:szCs w:val="24"/>
        </w:rPr>
      </w:pPr>
      <w:r>
        <w:rPr>
          <w:rFonts w:cs="Calibri"/>
          <w:sz w:val="24"/>
          <w:szCs w:val="24"/>
        </w:rPr>
        <w:t xml:space="preserve">Please follow this link for all up-to-date results: </w:t>
      </w:r>
      <w:hyperlink r:id="rId6" w:history="1">
        <w:r w:rsidRPr="004F2711">
          <w:rPr>
            <w:rStyle w:val="Hyperlink"/>
            <w:rFonts w:cs="Calibri"/>
            <w:sz w:val="24"/>
            <w:szCs w:val="24"/>
          </w:rPr>
          <w:t>https://investinhamilton.ca/economic-recovery-task-force/</w:t>
        </w:r>
      </w:hyperlink>
      <w:r>
        <w:rPr>
          <w:rFonts w:cs="Calibri"/>
          <w:sz w:val="24"/>
          <w:szCs w:val="24"/>
        </w:rPr>
        <w:t xml:space="preserve"> </w:t>
      </w:r>
    </w:p>
    <w:p w14:paraId="535F2FD2" w14:textId="77777777" w:rsidR="00700FB7" w:rsidRDefault="00700FB7" w:rsidP="00A95D99">
      <w:pPr>
        <w:spacing w:after="0"/>
        <w:rPr>
          <w:rFonts w:cs="Calibri"/>
          <w:sz w:val="24"/>
          <w:szCs w:val="24"/>
        </w:rPr>
      </w:pPr>
    </w:p>
    <w:p w14:paraId="05BA65A8" w14:textId="77777777" w:rsidR="00FF148C" w:rsidRDefault="00700FB7" w:rsidP="00FF148C">
      <w:pPr>
        <w:rPr>
          <w:rFonts w:cs="Calibri"/>
          <w:b/>
          <w:sz w:val="24"/>
          <w:szCs w:val="24"/>
        </w:rPr>
      </w:pPr>
      <w:r>
        <w:rPr>
          <w:rFonts w:cs="Calibri"/>
          <w:b/>
          <w:sz w:val="24"/>
          <w:szCs w:val="24"/>
        </w:rPr>
        <w:t>3</w:t>
      </w:r>
      <w:r w:rsidR="00FF148C" w:rsidRPr="008A6038">
        <w:rPr>
          <w:rFonts w:cs="Calibri"/>
          <w:b/>
          <w:sz w:val="24"/>
          <w:szCs w:val="24"/>
        </w:rPr>
        <w:t xml:space="preserve">. </w:t>
      </w:r>
      <w:r w:rsidR="00FF148C" w:rsidRPr="00066784">
        <w:rPr>
          <w:rFonts w:cs="Calibri"/>
          <w:b/>
          <w:sz w:val="24"/>
          <w:szCs w:val="24"/>
        </w:rPr>
        <w:t xml:space="preserve">Challenges &amp; Changes </w:t>
      </w:r>
      <w:r w:rsidR="00FF148C">
        <w:rPr>
          <w:rFonts w:cs="Calibri"/>
          <w:b/>
          <w:sz w:val="24"/>
          <w:szCs w:val="24"/>
        </w:rPr>
        <w:t>M</w:t>
      </w:r>
      <w:r w:rsidR="00FF148C" w:rsidRPr="00066784">
        <w:rPr>
          <w:rFonts w:cs="Calibri"/>
          <w:b/>
          <w:sz w:val="24"/>
          <w:szCs w:val="24"/>
        </w:rPr>
        <w:t>ade</w:t>
      </w:r>
    </w:p>
    <w:p w14:paraId="5ADA93C1" w14:textId="6D89E6C1" w:rsidR="00FF148C" w:rsidRDefault="00700FB7" w:rsidP="00FF148C">
      <w:pPr>
        <w:rPr>
          <w:rFonts w:cs="Calibri"/>
          <w:sz w:val="24"/>
          <w:szCs w:val="24"/>
        </w:rPr>
      </w:pPr>
      <w:r>
        <w:rPr>
          <w:rFonts w:cs="Calibri"/>
          <w:sz w:val="24"/>
          <w:szCs w:val="24"/>
        </w:rPr>
        <w:t>The challenge of constant openings and lockdowns did challenge the short-term efforts, however since the plan was business community driven and had great attention to mid/long-term plans, the task force actions are paying great dividends because it identified actions when lockdowns were no longer a concern.</w:t>
      </w:r>
    </w:p>
    <w:p w14:paraId="0E633606" w14:textId="77777777" w:rsidR="001F5569" w:rsidRPr="00D63278" w:rsidRDefault="00264C67" w:rsidP="001F5569">
      <w:pPr>
        <w:rPr>
          <w:rFonts w:cs="Calibri"/>
          <w:b/>
          <w:sz w:val="24"/>
          <w:szCs w:val="24"/>
        </w:rPr>
      </w:pPr>
      <w:r>
        <w:rPr>
          <w:rFonts w:cs="Calibri"/>
          <w:b/>
          <w:sz w:val="24"/>
          <w:szCs w:val="24"/>
        </w:rPr>
        <w:t>4</w:t>
      </w:r>
      <w:r w:rsidR="001F5569">
        <w:rPr>
          <w:rFonts w:cs="Calibri"/>
          <w:b/>
          <w:sz w:val="24"/>
          <w:szCs w:val="24"/>
        </w:rPr>
        <w:t xml:space="preserve">. </w:t>
      </w:r>
      <w:r w:rsidR="001F5569" w:rsidRPr="00D63278">
        <w:rPr>
          <w:rFonts w:cs="Calibri"/>
          <w:b/>
          <w:sz w:val="24"/>
          <w:szCs w:val="24"/>
        </w:rPr>
        <w:t xml:space="preserve">Target </w:t>
      </w:r>
      <w:r w:rsidR="001F5569">
        <w:rPr>
          <w:rFonts w:cs="Calibri"/>
          <w:b/>
          <w:sz w:val="24"/>
          <w:szCs w:val="24"/>
        </w:rPr>
        <w:t>Audience</w:t>
      </w:r>
    </w:p>
    <w:p w14:paraId="0F1C2EAB" w14:textId="4C3C8404" w:rsidR="00FF148C" w:rsidRDefault="00264C67" w:rsidP="00FF148C">
      <w:pPr>
        <w:rPr>
          <w:rFonts w:cs="Calibri"/>
          <w:iCs/>
          <w:sz w:val="24"/>
          <w:szCs w:val="24"/>
          <w:lang w:val="en-US"/>
        </w:rPr>
      </w:pPr>
      <w:r>
        <w:rPr>
          <w:rFonts w:cs="Calibri"/>
          <w:sz w:val="24"/>
          <w:szCs w:val="24"/>
        </w:rPr>
        <w:lastRenderedPageBreak/>
        <w:t>The audience was mainly the local small/medium sized business community.  In order to reach these audiences effectively the actions were an amalgam of the best efforts of community partners from private sector, academia, labour/union, public and non-profit.  As well, in order to ensure that the efforts were as inclusive as possible, the task force took great effort to ensure that the recovery actions were steeped in equity, diversity and inclusion (</w:t>
      </w:r>
      <w:r w:rsidR="002B7007">
        <w:rPr>
          <w:rFonts w:cs="Calibri"/>
          <w:sz w:val="24"/>
          <w:szCs w:val="24"/>
        </w:rPr>
        <w:t>DE&amp;I</w:t>
      </w:r>
      <w:r>
        <w:rPr>
          <w:rFonts w:cs="Calibri"/>
          <w:sz w:val="24"/>
          <w:szCs w:val="24"/>
        </w:rPr>
        <w:t>) principals as well as tried to remain cognizant of climate change principals.</w:t>
      </w:r>
    </w:p>
    <w:p w14:paraId="47370939" w14:textId="77777777" w:rsidR="00FF148C" w:rsidRPr="00525348" w:rsidRDefault="00FF148C" w:rsidP="00FF148C">
      <w:pPr>
        <w:rPr>
          <w:rFonts w:cs="Calibri"/>
          <w:b/>
          <w:iCs/>
          <w:sz w:val="24"/>
          <w:szCs w:val="24"/>
          <w:lang w:val="en-US"/>
        </w:rPr>
      </w:pPr>
      <w:r w:rsidRPr="00525348">
        <w:rPr>
          <w:rFonts w:cs="Calibri"/>
          <w:b/>
          <w:iCs/>
          <w:sz w:val="24"/>
          <w:szCs w:val="24"/>
          <w:lang w:val="en-US"/>
        </w:rPr>
        <w:t>5. Specifics</w:t>
      </w:r>
    </w:p>
    <w:p w14:paraId="2569A4E7" w14:textId="77777777" w:rsidR="00264C67" w:rsidRDefault="00264C67" w:rsidP="00FF148C">
      <w:pPr>
        <w:rPr>
          <w:rFonts w:cs="Calibri"/>
          <w:iCs/>
          <w:sz w:val="24"/>
          <w:szCs w:val="24"/>
          <w:lang w:val="en-US"/>
        </w:rPr>
      </w:pPr>
      <w:r>
        <w:rPr>
          <w:rFonts w:cs="Calibri"/>
          <w:iCs/>
          <w:sz w:val="24"/>
          <w:szCs w:val="24"/>
          <w:lang w:val="en-US"/>
        </w:rPr>
        <w:t>N/A</w:t>
      </w:r>
    </w:p>
    <w:p w14:paraId="60E7F98C" w14:textId="748B6854" w:rsidR="001F5569" w:rsidRDefault="00FF148C" w:rsidP="00FF148C">
      <w:pPr>
        <w:rPr>
          <w:rFonts w:cs="Calibri"/>
          <w:sz w:val="24"/>
          <w:szCs w:val="24"/>
        </w:rPr>
      </w:pPr>
      <w:r w:rsidRPr="00525348">
        <w:rPr>
          <w:rFonts w:cs="Calibri"/>
          <w:b/>
          <w:iCs/>
          <w:sz w:val="24"/>
          <w:szCs w:val="24"/>
          <w:lang w:val="en-US"/>
        </w:rPr>
        <w:t>6. Sustainability</w:t>
      </w:r>
      <w:r w:rsidR="001F5569" w:rsidRPr="00D63278">
        <w:rPr>
          <w:rFonts w:cs="Calibri"/>
          <w:sz w:val="24"/>
          <w:szCs w:val="24"/>
        </w:rPr>
        <w:br/>
      </w:r>
      <w:r w:rsidR="001F5569" w:rsidRPr="00D63278">
        <w:rPr>
          <w:rFonts w:cs="Calibri"/>
          <w:b/>
          <w:sz w:val="24"/>
          <w:szCs w:val="24"/>
        </w:rPr>
        <w:br/>
      </w:r>
      <w:r w:rsidR="00264C67">
        <w:rPr>
          <w:rFonts w:cs="Calibri"/>
          <w:sz w:val="24"/>
          <w:szCs w:val="24"/>
        </w:rPr>
        <w:t xml:space="preserve">The Task Force has </w:t>
      </w:r>
      <w:r w:rsidR="002B7007">
        <w:rPr>
          <w:rFonts w:cs="Calibri"/>
          <w:sz w:val="24"/>
          <w:szCs w:val="24"/>
        </w:rPr>
        <w:t>several</w:t>
      </w:r>
      <w:r w:rsidR="00264C67">
        <w:rPr>
          <w:rFonts w:cs="Calibri"/>
          <w:sz w:val="24"/>
          <w:szCs w:val="24"/>
        </w:rPr>
        <w:t xml:space="preserve"> actions focused on climate change and how new investments should be focused in part on environmental sustainability and conservation as much as possible.  Although many investments in the recovery are not specifically driven solely by climate change mindfulness, the Economic Development Office staff have been tasked to work with the business community to find ways as much as possible to ensure that the climate change lens is placed on investments- whether through new partnerships </w:t>
      </w:r>
      <w:r w:rsidR="00525348">
        <w:rPr>
          <w:rFonts w:cs="Calibri"/>
          <w:sz w:val="24"/>
          <w:szCs w:val="24"/>
        </w:rPr>
        <w:t>through research, possible financial incentives and/or trying to help business build sustainability into the supply chain.</w:t>
      </w:r>
    </w:p>
    <w:p w14:paraId="3E5D6293" w14:textId="77777777" w:rsidR="001F5569" w:rsidRPr="00066784" w:rsidRDefault="001F5569" w:rsidP="001F5569">
      <w:pPr>
        <w:rPr>
          <w:rFonts w:cs="Calibri"/>
          <w:sz w:val="24"/>
          <w:szCs w:val="24"/>
        </w:rPr>
      </w:pPr>
    </w:p>
    <w:p w14:paraId="1F9B7EC4" w14:textId="77777777" w:rsidR="001F5569" w:rsidRPr="00D63278" w:rsidRDefault="001F5569" w:rsidP="001F5569">
      <w:pPr>
        <w:rPr>
          <w:rFonts w:cs="Calibri"/>
          <w:sz w:val="24"/>
          <w:szCs w:val="24"/>
        </w:rPr>
      </w:pPr>
    </w:p>
    <w:p w14:paraId="2B5AE51E" w14:textId="77777777" w:rsidR="008B13DC" w:rsidRDefault="008B13DC"/>
    <w:sectPr w:rsidR="008B13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0C1F"/>
    <w:multiLevelType w:val="hybridMultilevel"/>
    <w:tmpl w:val="5A586D02"/>
    <w:lvl w:ilvl="0" w:tplc="10090001">
      <w:start w:val="1"/>
      <w:numFmt w:val="bullet"/>
      <w:lvlText w:val=""/>
      <w:lvlJc w:val="left"/>
      <w:pPr>
        <w:ind w:left="759" w:hanging="360"/>
      </w:pPr>
      <w:rPr>
        <w:rFonts w:ascii="Symbol" w:hAnsi="Symbol" w:hint="default"/>
      </w:rPr>
    </w:lvl>
    <w:lvl w:ilvl="1" w:tplc="10090003" w:tentative="1">
      <w:start w:val="1"/>
      <w:numFmt w:val="bullet"/>
      <w:lvlText w:val="o"/>
      <w:lvlJc w:val="left"/>
      <w:pPr>
        <w:ind w:left="1479" w:hanging="360"/>
      </w:pPr>
      <w:rPr>
        <w:rFonts w:ascii="Courier New" w:hAnsi="Courier New" w:cs="Courier New" w:hint="default"/>
      </w:rPr>
    </w:lvl>
    <w:lvl w:ilvl="2" w:tplc="10090005" w:tentative="1">
      <w:start w:val="1"/>
      <w:numFmt w:val="bullet"/>
      <w:lvlText w:val=""/>
      <w:lvlJc w:val="left"/>
      <w:pPr>
        <w:ind w:left="2199" w:hanging="360"/>
      </w:pPr>
      <w:rPr>
        <w:rFonts w:ascii="Wingdings" w:hAnsi="Wingdings" w:hint="default"/>
      </w:rPr>
    </w:lvl>
    <w:lvl w:ilvl="3" w:tplc="10090001" w:tentative="1">
      <w:start w:val="1"/>
      <w:numFmt w:val="bullet"/>
      <w:lvlText w:val=""/>
      <w:lvlJc w:val="left"/>
      <w:pPr>
        <w:ind w:left="2919" w:hanging="360"/>
      </w:pPr>
      <w:rPr>
        <w:rFonts w:ascii="Symbol" w:hAnsi="Symbol" w:hint="default"/>
      </w:rPr>
    </w:lvl>
    <w:lvl w:ilvl="4" w:tplc="10090003" w:tentative="1">
      <w:start w:val="1"/>
      <w:numFmt w:val="bullet"/>
      <w:lvlText w:val="o"/>
      <w:lvlJc w:val="left"/>
      <w:pPr>
        <w:ind w:left="3639" w:hanging="360"/>
      </w:pPr>
      <w:rPr>
        <w:rFonts w:ascii="Courier New" w:hAnsi="Courier New" w:cs="Courier New" w:hint="default"/>
      </w:rPr>
    </w:lvl>
    <w:lvl w:ilvl="5" w:tplc="10090005" w:tentative="1">
      <w:start w:val="1"/>
      <w:numFmt w:val="bullet"/>
      <w:lvlText w:val=""/>
      <w:lvlJc w:val="left"/>
      <w:pPr>
        <w:ind w:left="4359" w:hanging="360"/>
      </w:pPr>
      <w:rPr>
        <w:rFonts w:ascii="Wingdings" w:hAnsi="Wingdings" w:hint="default"/>
      </w:rPr>
    </w:lvl>
    <w:lvl w:ilvl="6" w:tplc="10090001" w:tentative="1">
      <w:start w:val="1"/>
      <w:numFmt w:val="bullet"/>
      <w:lvlText w:val=""/>
      <w:lvlJc w:val="left"/>
      <w:pPr>
        <w:ind w:left="5079" w:hanging="360"/>
      </w:pPr>
      <w:rPr>
        <w:rFonts w:ascii="Symbol" w:hAnsi="Symbol" w:hint="default"/>
      </w:rPr>
    </w:lvl>
    <w:lvl w:ilvl="7" w:tplc="10090003" w:tentative="1">
      <w:start w:val="1"/>
      <w:numFmt w:val="bullet"/>
      <w:lvlText w:val="o"/>
      <w:lvlJc w:val="left"/>
      <w:pPr>
        <w:ind w:left="5799" w:hanging="360"/>
      </w:pPr>
      <w:rPr>
        <w:rFonts w:ascii="Courier New" w:hAnsi="Courier New" w:cs="Courier New" w:hint="default"/>
      </w:rPr>
    </w:lvl>
    <w:lvl w:ilvl="8" w:tplc="10090005" w:tentative="1">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69"/>
    <w:rsid w:val="001F5569"/>
    <w:rsid w:val="00264C67"/>
    <w:rsid w:val="002B7007"/>
    <w:rsid w:val="00525348"/>
    <w:rsid w:val="00700FB7"/>
    <w:rsid w:val="007B31B9"/>
    <w:rsid w:val="008B13DC"/>
    <w:rsid w:val="00901A3A"/>
    <w:rsid w:val="009B03E8"/>
    <w:rsid w:val="00A95D99"/>
    <w:rsid w:val="00B00D27"/>
    <w:rsid w:val="00BA6738"/>
    <w:rsid w:val="00FF1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CD58"/>
  <w15:chartTrackingRefBased/>
  <w15:docId w15:val="{24E77D71-4E2E-45BC-ACB4-A6678F68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569"/>
    <w:rPr>
      <w:color w:val="0563C1" w:themeColor="hyperlink"/>
      <w:u w:val="single"/>
    </w:rPr>
  </w:style>
  <w:style w:type="character" w:styleId="UnresolvedMention">
    <w:name w:val="Unresolved Mention"/>
    <w:basedOn w:val="DefaultParagraphFont"/>
    <w:uiPriority w:val="99"/>
    <w:semiHidden/>
    <w:unhideWhenUsed/>
    <w:rsid w:val="001F5569"/>
    <w:rPr>
      <w:color w:val="605E5C"/>
      <w:shd w:val="clear" w:color="auto" w:fill="E1DFDD"/>
    </w:rPr>
  </w:style>
  <w:style w:type="paragraph" w:styleId="ListParagraph">
    <w:name w:val="List Paragraph"/>
    <w:basedOn w:val="Normal"/>
    <w:uiPriority w:val="34"/>
    <w:qFormat/>
    <w:rsid w:val="00A95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nhamilton.ca/economic-recovery-task-force/" TargetMode="External"/><Relationship Id="rId5" Type="http://schemas.openxmlformats.org/officeDocument/2006/relationships/hyperlink" Target="https://investinhamilton.ca/economic-recovery-tas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Borcea, Dana</dc:creator>
  <cp:keywords/>
  <dc:description/>
  <cp:lastModifiedBy>Marini, Michael</cp:lastModifiedBy>
  <cp:revision>5</cp:revision>
  <dcterms:created xsi:type="dcterms:W3CDTF">2022-08-04T14:20:00Z</dcterms:created>
  <dcterms:modified xsi:type="dcterms:W3CDTF">2022-08-15T12:33:00Z</dcterms:modified>
</cp:coreProperties>
</file>