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C5F36" w14:textId="4676B810" w:rsidR="000D2B17" w:rsidRPr="000D2B17" w:rsidRDefault="00EF5C8A" w:rsidP="000D2B17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Event- “Collision Participation – Booth and Social Media Campaign”</w:t>
      </w:r>
    </w:p>
    <w:p w14:paraId="26F970AB" w14:textId="23D22085" w:rsidR="000D2B17" w:rsidRPr="000D2B17" w:rsidRDefault="00BE6339" w:rsidP="00EF5C8A">
      <w:r>
        <w:t xml:space="preserve">Invest in Hamilton Collision webpage: </w:t>
      </w:r>
      <w:hyperlink r:id="rId5" w:history="1">
        <w:r w:rsidR="000D2B17">
          <w:rPr>
            <w:rStyle w:val="Hyperlink"/>
          </w:rPr>
          <w:t>Collision 2022 - Invest in</w:t>
        </w:r>
        <w:r w:rsidR="000D2B17">
          <w:rPr>
            <w:rStyle w:val="Hyperlink"/>
          </w:rPr>
          <w:t xml:space="preserve"> </w:t>
        </w:r>
        <w:r w:rsidR="000D2B17">
          <w:rPr>
            <w:rStyle w:val="Hyperlink"/>
          </w:rPr>
          <w:t>Hamilton</w:t>
        </w:r>
      </w:hyperlink>
    </w:p>
    <w:p w14:paraId="11C9297A" w14:textId="0E602DC1" w:rsidR="00EF5C8A" w:rsidRPr="00EF5C8A" w:rsidRDefault="00EF5C8A" w:rsidP="00EF5C8A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1. Purpose of Project (including intended outcomes)</w:t>
      </w:r>
    </w:p>
    <w:p w14:paraId="3A62282F" w14:textId="468AEFF7" w:rsidR="00EF5C8A" w:rsidRDefault="00D64266" w:rsidP="00917306">
      <w:pPr>
        <w:spacing w:after="0" w:line="240" w:lineRule="auto"/>
      </w:pPr>
      <w:r>
        <w:t xml:space="preserve">Hamilton has a long history as a “City of Innovation” </w:t>
      </w:r>
      <w:r w:rsidR="001F4851">
        <w:t>and continues to further this narrative b</w:t>
      </w:r>
      <w:r w:rsidR="00CD2442" w:rsidRPr="00CD2442">
        <w:t xml:space="preserve">y growing and attracting talent, </w:t>
      </w:r>
      <w:r w:rsidR="00D262F3">
        <w:t>mobilizing</w:t>
      </w:r>
      <w:r w:rsidR="00FF39A2">
        <w:t xml:space="preserve"> research development</w:t>
      </w:r>
      <w:r w:rsidR="00D262F3">
        <w:t>,</w:t>
      </w:r>
      <w:r w:rsidR="00FF39A2">
        <w:t xml:space="preserve"> </w:t>
      </w:r>
      <w:r w:rsidR="00CD2442" w:rsidRPr="00CD2442">
        <w:t>and investment</w:t>
      </w:r>
      <w:r w:rsidR="001F4851">
        <w:t xml:space="preserve">. </w:t>
      </w:r>
    </w:p>
    <w:p w14:paraId="69A9E3B6" w14:textId="0AFCE5E3" w:rsidR="00097F25" w:rsidRDefault="001F4851" w:rsidP="00917306">
      <w:pPr>
        <w:spacing w:after="0" w:line="240" w:lineRule="auto"/>
      </w:pPr>
      <w:r>
        <w:t>In June 2022, to engage with the national and global innovation community, Hamilton</w:t>
      </w:r>
      <w:r w:rsidR="00917306">
        <w:t xml:space="preserve"> E</w:t>
      </w:r>
      <w:r w:rsidR="00EF5C8A" w:rsidRPr="00CD2442">
        <w:t xml:space="preserve">conomic </w:t>
      </w:r>
      <w:r w:rsidR="00917306">
        <w:t>D</w:t>
      </w:r>
      <w:r w:rsidR="00EF5C8A" w:rsidRPr="00CD2442">
        <w:t>evelopment</w:t>
      </w:r>
      <w:r w:rsidR="00917306">
        <w:t xml:space="preserve"> </w:t>
      </w:r>
      <w:r w:rsidR="00EF5C8A" w:rsidRPr="00CD2442">
        <w:t>participated in the</w:t>
      </w:r>
      <w:r w:rsidR="00EF5C8A">
        <w:t xml:space="preserve"> </w:t>
      </w:r>
      <w:r w:rsidR="00EF5C8A" w:rsidRPr="00CD2442">
        <w:t>Collision Conference in Toronto</w:t>
      </w:r>
      <w:r w:rsidR="00595961">
        <w:t xml:space="preserve">, one of the largest North American tech </w:t>
      </w:r>
      <w:r w:rsidR="006520FC">
        <w:t>events</w:t>
      </w:r>
      <w:r w:rsidR="00EF5C8A">
        <w:t xml:space="preserve">. The team secured a </w:t>
      </w:r>
      <w:r w:rsidR="00D262F3">
        <w:t xml:space="preserve">booth at the event </w:t>
      </w:r>
      <w:r w:rsidR="00EF5C8A">
        <w:t xml:space="preserve">and designed a social media campaign aimed </w:t>
      </w:r>
      <w:r w:rsidR="00D262F3">
        <w:t>at</w:t>
      </w:r>
      <w:r w:rsidR="00EF5C8A">
        <w:t xml:space="preserve">: </w:t>
      </w:r>
    </w:p>
    <w:p w14:paraId="4089B9ED" w14:textId="51EA3706" w:rsidR="00EF5C8A" w:rsidRDefault="00EF5C8A" w:rsidP="00917306">
      <w:pPr>
        <w:pStyle w:val="ListParagraph"/>
        <w:numPr>
          <w:ilvl w:val="0"/>
          <w:numId w:val="4"/>
        </w:numPr>
        <w:spacing w:after="0" w:line="240" w:lineRule="auto"/>
      </w:pPr>
      <w:r>
        <w:t>R</w:t>
      </w:r>
      <w:r w:rsidR="00944053">
        <w:t>ais</w:t>
      </w:r>
      <w:r w:rsidR="00D262F3">
        <w:t>ing</w:t>
      </w:r>
      <w:r w:rsidR="00944053">
        <w:t xml:space="preserve"> awareness amongst </w:t>
      </w:r>
      <w:r w:rsidR="007413F3">
        <w:t>deciders</w:t>
      </w:r>
      <w:r w:rsidR="00944053">
        <w:t xml:space="preserve"> and influencers</w:t>
      </w:r>
      <w:r>
        <w:t xml:space="preserve"> in the GTA and beyond</w:t>
      </w:r>
      <w:r w:rsidR="00944053">
        <w:t xml:space="preserve"> about the investment opportunities in Hamilton’s tech </w:t>
      </w:r>
      <w:r w:rsidR="000401A7">
        <w:t>sector</w:t>
      </w:r>
      <w:r w:rsidR="000D2B17">
        <w:t>.</w:t>
      </w:r>
    </w:p>
    <w:p w14:paraId="283FECB3" w14:textId="053820A3" w:rsidR="00EF5C8A" w:rsidRDefault="00EF5C8A" w:rsidP="00917306">
      <w:pPr>
        <w:pStyle w:val="ListParagraph"/>
        <w:numPr>
          <w:ilvl w:val="0"/>
          <w:numId w:val="4"/>
        </w:numPr>
        <w:spacing w:after="0" w:line="240" w:lineRule="auto"/>
      </w:pPr>
      <w:r>
        <w:t>Showcas</w:t>
      </w:r>
      <w:r w:rsidR="00D262F3">
        <w:t>ing</w:t>
      </w:r>
      <w:r>
        <w:t xml:space="preserve"> Hamilton’s</w:t>
      </w:r>
      <w:r w:rsidR="00595961">
        <w:t xml:space="preserve"> successes</w:t>
      </w:r>
      <w:r>
        <w:t xml:space="preserve"> and personality using storytelling, booth animation and strategic partnerships.</w:t>
      </w:r>
    </w:p>
    <w:p w14:paraId="12566F7B" w14:textId="42A86F00" w:rsidR="00CD2442" w:rsidRDefault="00097F25" w:rsidP="00917306">
      <w:pPr>
        <w:pStyle w:val="ListParagraph"/>
        <w:numPr>
          <w:ilvl w:val="0"/>
          <w:numId w:val="4"/>
        </w:numPr>
        <w:spacing w:after="0" w:line="240" w:lineRule="auto"/>
      </w:pPr>
      <w:r>
        <w:t>Connect</w:t>
      </w:r>
      <w:r w:rsidR="00D262F3">
        <w:t>ing</w:t>
      </w:r>
      <w:r>
        <w:t xml:space="preserve"> with attendees and identify</w:t>
      </w:r>
      <w:r w:rsidR="00D262F3">
        <w:t>ing</w:t>
      </w:r>
      <w:r>
        <w:t xml:space="preserve"> potential opportunities</w:t>
      </w:r>
      <w:r w:rsidR="00595961">
        <w:t xml:space="preserve"> for collaboration</w:t>
      </w:r>
      <w:r w:rsidR="00D262F3">
        <w:t xml:space="preserve"> and</w:t>
      </w:r>
      <w:r w:rsidR="00595961">
        <w:t xml:space="preserve"> investment</w:t>
      </w:r>
      <w:r w:rsidR="00D262F3">
        <w:t>.</w:t>
      </w:r>
    </w:p>
    <w:p w14:paraId="0F0C25BD" w14:textId="01B5EB9B" w:rsidR="00E247E3" w:rsidRDefault="00E247E3" w:rsidP="00CD2442">
      <w:pPr>
        <w:spacing w:after="0" w:line="390" w:lineRule="atLeast"/>
        <w:rPr>
          <w:b/>
          <w:bCs/>
        </w:rPr>
      </w:pPr>
    </w:p>
    <w:p w14:paraId="10B209DD" w14:textId="47645EB1" w:rsidR="00595961" w:rsidRDefault="00EF5C8A" w:rsidP="005959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-29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2. Effectiveness Meeting </w:t>
      </w:r>
      <w:r w:rsidRPr="00D63278">
        <w:rPr>
          <w:rFonts w:cs="Calibri"/>
          <w:b/>
          <w:sz w:val="24"/>
          <w:szCs w:val="24"/>
        </w:rPr>
        <w:t>Objective</w:t>
      </w:r>
      <w:r>
        <w:rPr>
          <w:rFonts w:cs="Calibri"/>
          <w:b/>
          <w:sz w:val="24"/>
          <w:szCs w:val="24"/>
        </w:rPr>
        <w:t>s</w:t>
      </w:r>
    </w:p>
    <w:p w14:paraId="709199D8" w14:textId="77777777" w:rsidR="00917306" w:rsidRPr="00595961" w:rsidRDefault="00917306" w:rsidP="005959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-29"/>
        <w:rPr>
          <w:rFonts w:cs="Calibri"/>
          <w:b/>
          <w:sz w:val="24"/>
          <w:szCs w:val="24"/>
        </w:rPr>
      </w:pPr>
    </w:p>
    <w:p w14:paraId="2B5681B9" w14:textId="0B35DB22" w:rsidR="00595961" w:rsidRDefault="00595961" w:rsidP="0091730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Awareness: </w:t>
      </w:r>
      <w:r w:rsidR="001F4851">
        <w:t xml:space="preserve">The social media campaign resulted in </w:t>
      </w:r>
      <w:r w:rsidR="00E540A1">
        <w:t xml:space="preserve">228% more interactions on </w:t>
      </w:r>
      <w:r w:rsidR="00F05CE9">
        <w:t>Invest in Hamilton’s</w:t>
      </w:r>
      <w:r w:rsidR="00E540A1">
        <w:t xml:space="preserve"> LinkedIn page in comparison to the previous month and 110% more twitter impressions compared to the previous weeks.</w:t>
      </w:r>
    </w:p>
    <w:p w14:paraId="1F340BA6" w14:textId="4D7FABD5" w:rsidR="00595961" w:rsidRDefault="00595961" w:rsidP="0091730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Storytelling: </w:t>
      </w:r>
      <w:r w:rsidR="001F4851">
        <w:t>Participation at the event w</w:t>
      </w:r>
      <w:r w:rsidR="00D262F3">
        <w:t>hich involved</w:t>
      </w:r>
      <w:r w:rsidR="001F4851">
        <w:t xml:space="preserve"> Hamilton partners resulted in </w:t>
      </w:r>
      <w:r>
        <w:t xml:space="preserve">2 booth announcements, </w:t>
      </w:r>
      <w:r w:rsidR="001F4851">
        <w:t>and 4 media stories.</w:t>
      </w:r>
    </w:p>
    <w:p w14:paraId="0708137F" w14:textId="6F8D7F66" w:rsidR="00E540A1" w:rsidRDefault="00595961" w:rsidP="0091730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Connect: The </w:t>
      </w:r>
      <w:r w:rsidR="00917306">
        <w:t xml:space="preserve">Hamilton Economic Development </w:t>
      </w:r>
      <w:r w:rsidR="00E540A1">
        <w:t>team secure</w:t>
      </w:r>
      <w:r>
        <w:t>d</w:t>
      </w:r>
      <w:r w:rsidR="00E540A1">
        <w:t xml:space="preserve"> over 100 new followers across all social platforms and </w:t>
      </w:r>
      <w:r w:rsidR="00D262F3">
        <w:t>engaged</w:t>
      </w:r>
      <w:r w:rsidR="00E540A1">
        <w:t xml:space="preserve"> </w:t>
      </w:r>
      <w:r w:rsidR="0070734C">
        <w:t>in 300 direct conversations/</w:t>
      </w:r>
      <w:r w:rsidR="00E540A1">
        <w:t xml:space="preserve"> </w:t>
      </w:r>
      <w:r w:rsidR="007413F3">
        <w:t>interactions</w:t>
      </w:r>
      <w:r w:rsidR="00E540A1">
        <w:t xml:space="preserve"> </w:t>
      </w:r>
      <w:r w:rsidR="0070734C">
        <w:t>at the booth.</w:t>
      </w:r>
    </w:p>
    <w:p w14:paraId="4821AA8F" w14:textId="5F782BD6" w:rsidR="00E540A1" w:rsidRDefault="00E540A1" w:rsidP="00CD2442">
      <w:pPr>
        <w:spacing w:after="0" w:line="390" w:lineRule="atLeast"/>
        <w:rPr>
          <w:b/>
          <w:bCs/>
        </w:rPr>
      </w:pPr>
    </w:p>
    <w:p w14:paraId="561F8BC9" w14:textId="77777777" w:rsidR="00EF5C8A" w:rsidRDefault="00EF5C8A" w:rsidP="00EF5C8A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</w:t>
      </w:r>
      <w:r w:rsidRPr="008A6038">
        <w:rPr>
          <w:rFonts w:cs="Calibri"/>
          <w:b/>
          <w:sz w:val="24"/>
          <w:szCs w:val="24"/>
        </w:rPr>
        <w:t xml:space="preserve">. </w:t>
      </w:r>
      <w:r w:rsidRPr="00066784">
        <w:rPr>
          <w:rFonts w:cs="Calibri"/>
          <w:b/>
          <w:sz w:val="24"/>
          <w:szCs w:val="24"/>
        </w:rPr>
        <w:t xml:space="preserve">Challenges &amp; Changes </w:t>
      </w:r>
      <w:r>
        <w:rPr>
          <w:rFonts w:cs="Calibri"/>
          <w:b/>
          <w:sz w:val="24"/>
          <w:szCs w:val="24"/>
        </w:rPr>
        <w:t>M</w:t>
      </w:r>
      <w:r w:rsidRPr="00066784">
        <w:rPr>
          <w:rFonts w:cs="Calibri"/>
          <w:b/>
          <w:sz w:val="24"/>
          <w:szCs w:val="24"/>
        </w:rPr>
        <w:t>ade</w:t>
      </w:r>
    </w:p>
    <w:p w14:paraId="14764233" w14:textId="3BA67926" w:rsidR="00681F99" w:rsidRDefault="00E540A1" w:rsidP="00EF5C8A">
      <w:r>
        <w:t>One of the main challenges to designing and implementing a campaign during</w:t>
      </w:r>
      <w:r w:rsidR="001F4851">
        <w:t xml:space="preserve"> a major event</w:t>
      </w:r>
      <w:r>
        <w:t xml:space="preserve"> is the amount of social media content </w:t>
      </w:r>
      <w:r w:rsidR="006C5FD9">
        <w:t>on the web</w:t>
      </w:r>
      <w:r w:rsidR="007D2833">
        <w:t xml:space="preserve"> which</w:t>
      </w:r>
      <w:r>
        <w:t xml:space="preserve"> reduc</w:t>
      </w:r>
      <w:r w:rsidR="007D2833">
        <w:t xml:space="preserve">es </w:t>
      </w:r>
      <w:r>
        <w:t xml:space="preserve">potential exposure and visibility. To minimize this, </w:t>
      </w:r>
      <w:r w:rsidR="00917306">
        <w:t>Hamilton E</w:t>
      </w:r>
      <w:r>
        <w:t xml:space="preserve">conomic </w:t>
      </w:r>
      <w:r w:rsidR="00917306">
        <w:t>D</w:t>
      </w:r>
      <w:r>
        <w:t xml:space="preserve">evelopment, took advantage of the days pre-conference to attract interest and took a collaborative approach to </w:t>
      </w:r>
      <w:r w:rsidR="00F05CE9">
        <w:t xml:space="preserve">content </w:t>
      </w:r>
      <w:r>
        <w:t xml:space="preserve">development. Rather than focusing on the messaging of the </w:t>
      </w:r>
      <w:r w:rsidR="007D2833">
        <w:t>C</w:t>
      </w:r>
      <w:r>
        <w:t xml:space="preserve">ity, “told by the City,” the </w:t>
      </w:r>
      <w:r w:rsidR="006520FC">
        <w:t>Hamilton</w:t>
      </w:r>
      <w:r>
        <w:t xml:space="preserve"> team worked with partners to share their successes and perspectives</w:t>
      </w:r>
      <w:r w:rsidR="006520FC">
        <w:t xml:space="preserve"> which </w:t>
      </w:r>
      <w:r>
        <w:t xml:space="preserve">increased the amount of engagement and </w:t>
      </w:r>
      <w:r w:rsidR="007D2833">
        <w:t>deliver</w:t>
      </w:r>
      <w:r w:rsidR="00D262F3">
        <w:t>ed</w:t>
      </w:r>
      <w:r>
        <w:t xml:space="preserve"> a more authentic message.</w:t>
      </w:r>
    </w:p>
    <w:p w14:paraId="1314E28A" w14:textId="6FAD588C" w:rsidR="00EF5C8A" w:rsidRPr="00EF5C8A" w:rsidRDefault="00EF5C8A" w:rsidP="00EF5C8A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4. </w:t>
      </w:r>
      <w:r w:rsidRPr="00D63278">
        <w:rPr>
          <w:rFonts w:cs="Calibri"/>
          <w:b/>
          <w:sz w:val="24"/>
          <w:szCs w:val="24"/>
        </w:rPr>
        <w:t xml:space="preserve">Target </w:t>
      </w:r>
      <w:r>
        <w:rPr>
          <w:rFonts w:cs="Calibri"/>
          <w:b/>
          <w:sz w:val="24"/>
          <w:szCs w:val="24"/>
        </w:rPr>
        <w:t>Audience</w:t>
      </w:r>
    </w:p>
    <w:p w14:paraId="795AA1E3" w14:textId="0103F90B" w:rsidR="00EF5C8A" w:rsidRDefault="00EF5C8A" w:rsidP="00917306">
      <w:pPr>
        <w:spacing w:after="0" w:line="240" w:lineRule="auto"/>
      </w:pPr>
      <w:r>
        <w:t>The primary target market for this campaign were based on the</w:t>
      </w:r>
      <w:r w:rsidRPr="006C5FD9">
        <w:rPr>
          <w:i/>
          <w:iCs/>
        </w:rPr>
        <w:t xml:space="preserve"> decider </w:t>
      </w:r>
      <w:r>
        <w:t xml:space="preserve">personas </w:t>
      </w:r>
      <w:r w:rsidR="00595961">
        <w:t>identified</w:t>
      </w:r>
      <w:r>
        <w:t xml:space="preserve"> in Hamilton’s Marketing Strategy: C-suite executives, Founders, VP’s, Directors,</w:t>
      </w:r>
      <w:r w:rsidR="006520FC">
        <w:t xml:space="preserve"> and</w:t>
      </w:r>
      <w:r>
        <w:t xml:space="preserve"> Managers</w:t>
      </w:r>
      <w:r w:rsidR="006520FC">
        <w:t>.</w:t>
      </w:r>
    </w:p>
    <w:p w14:paraId="1075BE84" w14:textId="77777777" w:rsidR="00917306" w:rsidRDefault="00917306" w:rsidP="00917306">
      <w:pPr>
        <w:spacing w:after="0" w:line="240" w:lineRule="auto"/>
      </w:pPr>
    </w:p>
    <w:p w14:paraId="52FBA64E" w14:textId="6BB6F878" w:rsidR="00595961" w:rsidRPr="00917306" w:rsidRDefault="00EF5C8A" w:rsidP="00917306">
      <w:pPr>
        <w:rPr>
          <w:rFonts w:cs="Calibri"/>
          <w:b/>
          <w:sz w:val="24"/>
          <w:szCs w:val="24"/>
        </w:rPr>
      </w:pPr>
      <w:r w:rsidRPr="00917306">
        <w:rPr>
          <w:rFonts w:cs="Calibri"/>
          <w:b/>
          <w:sz w:val="24"/>
          <w:szCs w:val="24"/>
        </w:rPr>
        <w:t>5. Specifics</w:t>
      </w:r>
    </w:p>
    <w:p w14:paraId="1D25F480" w14:textId="77777777" w:rsidR="00595961" w:rsidRPr="00E3299C" w:rsidRDefault="00595961" w:rsidP="00595961">
      <w:pPr>
        <w:spacing w:after="0" w:line="390" w:lineRule="atLeast"/>
        <w:rPr>
          <w:b/>
          <w:bCs/>
        </w:rPr>
      </w:pPr>
      <w:r w:rsidRPr="00E3299C">
        <w:rPr>
          <w:b/>
          <w:bCs/>
        </w:rPr>
        <w:t>Social campaign</w:t>
      </w:r>
    </w:p>
    <w:p w14:paraId="27A73C44" w14:textId="388C7DAE" w:rsidR="00595961" w:rsidRDefault="00595961" w:rsidP="00917306">
      <w:pPr>
        <w:spacing w:after="0" w:line="240" w:lineRule="auto"/>
      </w:pPr>
      <w:r>
        <w:t>The social media campaign spanned 8 days, pre, during and post the event. The posts leading up to Collision mainly included “did you know” facts about Hamilton</w:t>
      </w:r>
      <w:r w:rsidR="006520FC">
        <w:t xml:space="preserve"> </w:t>
      </w:r>
      <w:r>
        <w:t xml:space="preserve">including national and international </w:t>
      </w:r>
      <w:r>
        <w:lastRenderedPageBreak/>
        <w:t xml:space="preserve">recognition, the strength of key sectors, institutions and labour market. </w:t>
      </w:r>
      <w:r w:rsidR="006520FC">
        <w:t>Each day of</w:t>
      </w:r>
      <w:r>
        <w:t xml:space="preserve"> the conference, </w:t>
      </w:r>
      <w:r w:rsidR="006520FC">
        <w:t>the team highlighted the stories related to a key sector (</w:t>
      </w:r>
      <w:r>
        <w:t>ICT and digital media, advanced manufacturing</w:t>
      </w:r>
      <w:r w:rsidR="006520FC">
        <w:t>,</w:t>
      </w:r>
      <w:r>
        <w:t xml:space="preserve"> and life sciences</w:t>
      </w:r>
      <w:r w:rsidR="006520FC">
        <w:t>).</w:t>
      </w:r>
    </w:p>
    <w:p w14:paraId="20FDC223" w14:textId="06D2D9AD" w:rsidR="00917306" w:rsidRDefault="00595961" w:rsidP="00595961">
      <w:pPr>
        <w:spacing w:after="0" w:line="390" w:lineRule="atLeast"/>
        <w:rPr>
          <w:b/>
          <w:bCs/>
        </w:rPr>
      </w:pPr>
      <w:r w:rsidRPr="00E3299C">
        <w:rPr>
          <w:b/>
          <w:bCs/>
        </w:rPr>
        <w:t>Booth</w:t>
      </w:r>
      <w:r>
        <w:rPr>
          <w:b/>
          <w:bCs/>
        </w:rPr>
        <w:t xml:space="preserve"> Activity</w:t>
      </w:r>
    </w:p>
    <w:p w14:paraId="39ECF74F" w14:textId="10666EBB" w:rsidR="00595961" w:rsidRPr="00E540A1" w:rsidRDefault="00595961" w:rsidP="00917306">
      <w:pPr>
        <w:spacing w:after="0" w:line="240" w:lineRule="auto"/>
      </w:pPr>
      <w:r w:rsidRPr="00E540A1">
        <w:t xml:space="preserve">The Invest in Hamilton booth </w:t>
      </w:r>
      <w:r>
        <w:t xml:space="preserve">exhibited a “red brick industrial look” and </w:t>
      </w:r>
      <w:r w:rsidRPr="00E540A1">
        <w:t>included</w:t>
      </w:r>
      <w:r w:rsidR="00D262F3">
        <w:t xml:space="preserve"> representation from strategic innovation</w:t>
      </w:r>
      <w:r w:rsidRPr="00E540A1">
        <w:t xml:space="preserve"> partners</w:t>
      </w:r>
      <w:r w:rsidRPr="00E247E3">
        <w:t xml:space="preserve"> </w:t>
      </w:r>
      <w:hyperlink r:id="rId6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McMaster University</w:t>
        </w:r>
      </w:hyperlink>
      <w:r>
        <w:rPr>
          <w:rFonts w:ascii="Segoe UI" w:hAnsi="Segoe UI" w:cs="Segoe UI"/>
          <w:sz w:val="21"/>
          <w:szCs w:val="21"/>
        </w:rPr>
        <w:t xml:space="preserve">, </w:t>
      </w:r>
      <w:hyperlink r:id="rId7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Synapse </w:t>
        </w:r>
      </w:hyperlink>
      <w:hyperlink r:id="rId8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Mohawk College</w:t>
        </w:r>
      </w:hyperlink>
      <w:r>
        <w:rPr>
          <w:rFonts w:ascii="Segoe UI" w:hAnsi="Segoe UI" w:cs="Segoe UI"/>
          <w:sz w:val="21"/>
          <w:szCs w:val="21"/>
        </w:rPr>
        <w:t xml:space="preserve">, </w:t>
      </w:r>
      <w:hyperlink r:id="rId9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McMaster Innovation Park</w:t>
        </w:r>
      </w:hyperlink>
      <w:r>
        <w:rPr>
          <w:rFonts w:ascii="Segoe UI" w:hAnsi="Segoe UI" w:cs="Segoe UI"/>
          <w:sz w:val="21"/>
          <w:szCs w:val="21"/>
          <w:shd w:val="clear" w:color="auto" w:fill="FFFFFF"/>
        </w:rPr>
        <w:t>,</w:t>
      </w:r>
      <w:r>
        <w:rPr>
          <w:rFonts w:ascii="Segoe UI" w:hAnsi="Segoe UI" w:cs="Segoe UI"/>
          <w:sz w:val="21"/>
          <w:szCs w:val="21"/>
        </w:rPr>
        <w:t xml:space="preserve"> </w:t>
      </w:r>
      <w:hyperlink r:id="rId10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Gowling WLG Hamilton</w:t>
        </w:r>
      </w:hyperlink>
      <w:r>
        <w:rPr>
          <w:rFonts w:ascii="Segoe UI" w:hAnsi="Segoe UI" w:cs="Segoe UI"/>
          <w:sz w:val="21"/>
          <w:szCs w:val="21"/>
        </w:rPr>
        <w:t xml:space="preserve"> and </w:t>
      </w:r>
      <w:hyperlink r:id="rId11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Forge &amp; Foster Investment Management</w:t>
        </w:r>
      </w:hyperlink>
      <w:r>
        <w:t>. Each day, the booth also hosted an announcement based on the sector highlight which resulted in 4 media stories</w:t>
      </w:r>
      <w:r w:rsidR="00BE6339">
        <w:t xml:space="preserve"> about </w:t>
      </w:r>
      <w:hyperlink r:id="rId12" w:history="1">
        <w:r w:rsidR="00BE6339" w:rsidRPr="00BE6339">
          <w:rPr>
            <w:rStyle w:val="Hyperlink"/>
          </w:rPr>
          <w:t>Verificient’s</w:t>
        </w:r>
      </w:hyperlink>
      <w:r w:rsidR="00BE6339">
        <w:t xml:space="preserve"> and </w:t>
      </w:r>
      <w:hyperlink r:id="rId13" w:history="1">
        <w:r w:rsidR="00BE6339" w:rsidRPr="00BE6339">
          <w:rPr>
            <w:rStyle w:val="Hyperlink"/>
          </w:rPr>
          <w:t>Omniabio’s</w:t>
        </w:r>
      </w:hyperlink>
      <w:r w:rsidR="00BE6339">
        <w:t xml:space="preserve"> expansion into Hamilton.</w:t>
      </w:r>
    </w:p>
    <w:p w14:paraId="399816F9" w14:textId="1AB60F46" w:rsidR="00EF5C8A" w:rsidRDefault="00EF5C8A" w:rsidP="00917306">
      <w:pPr>
        <w:spacing w:after="0" w:line="240" w:lineRule="auto"/>
        <w:rPr>
          <w:b/>
          <w:bCs/>
        </w:rPr>
      </w:pPr>
    </w:p>
    <w:p w14:paraId="5574A87A" w14:textId="1FEDA01A" w:rsidR="00EF5C8A" w:rsidRDefault="00917306" w:rsidP="0091730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6. </w:t>
      </w:r>
      <w:r w:rsidR="00EF5C8A">
        <w:rPr>
          <w:b/>
          <w:bCs/>
        </w:rPr>
        <w:t>Sustainability</w:t>
      </w:r>
    </w:p>
    <w:p w14:paraId="1C6EBDC3" w14:textId="77777777" w:rsidR="00917306" w:rsidRPr="00EF5C8A" w:rsidRDefault="00917306" w:rsidP="00917306">
      <w:pPr>
        <w:spacing w:after="0" w:line="240" w:lineRule="auto"/>
        <w:rPr>
          <w:b/>
          <w:bCs/>
        </w:rPr>
      </w:pPr>
    </w:p>
    <w:p w14:paraId="1C29D9AB" w14:textId="3E3C1B8F" w:rsidR="00D64266" w:rsidRPr="00D64266" w:rsidRDefault="00681F99" w:rsidP="00917306">
      <w:pPr>
        <w:spacing w:after="0" w:line="240" w:lineRule="auto"/>
        <w:rPr>
          <w:rFonts w:ascii="Arial" w:eastAsia="Times New Roman" w:hAnsi="Arial" w:cs="Arial"/>
          <w:color w:val="555555"/>
          <w:sz w:val="26"/>
          <w:szCs w:val="26"/>
        </w:rPr>
      </w:pPr>
      <w:r>
        <w:t>One</w:t>
      </w:r>
      <w:r w:rsidR="006C5FD9">
        <w:t xml:space="preserve"> unique feature</w:t>
      </w:r>
      <w:r>
        <w:t xml:space="preserve"> that the team incorporated in</w:t>
      </w:r>
      <w:r w:rsidR="006C5FD9">
        <w:t>to</w:t>
      </w:r>
      <w:r>
        <w:t xml:space="preserve"> the</w:t>
      </w:r>
      <w:r w:rsidR="006C5FD9">
        <w:t xml:space="preserve"> event</w:t>
      </w:r>
      <w:r>
        <w:t xml:space="preserve"> was</w:t>
      </w:r>
      <w:r w:rsidR="006C5FD9">
        <w:t xml:space="preserve"> the</w:t>
      </w:r>
      <w:r>
        <w:t xml:space="preserve"> </w:t>
      </w:r>
      <w:r w:rsidR="00F05CE9">
        <w:t>develop</w:t>
      </w:r>
      <w:r w:rsidR="006C5FD9">
        <w:t xml:space="preserve">ment of a </w:t>
      </w:r>
      <w:hyperlink r:id="rId14" w:history="1">
        <w:r w:rsidR="006C5FD9" w:rsidRPr="00BE6339">
          <w:rPr>
            <w:rStyle w:val="Hyperlink"/>
          </w:rPr>
          <w:t>Collision-specific</w:t>
        </w:r>
        <w:r w:rsidR="00E3299C" w:rsidRPr="00BE6339">
          <w:rPr>
            <w:rStyle w:val="Hyperlink"/>
          </w:rPr>
          <w:t xml:space="preserve"> </w:t>
        </w:r>
        <w:r w:rsidR="006C5FD9" w:rsidRPr="00BE6339">
          <w:rPr>
            <w:rStyle w:val="Hyperlink"/>
          </w:rPr>
          <w:t>webpage</w:t>
        </w:r>
      </w:hyperlink>
      <w:r w:rsidR="006C5FD9">
        <w:t xml:space="preserve"> </w:t>
      </w:r>
      <w:r w:rsidR="00F05CE9">
        <w:t>which</w:t>
      </w:r>
      <w:r w:rsidR="00E3299C">
        <w:t xml:space="preserve"> provide</w:t>
      </w:r>
      <w:r w:rsidR="00F05CE9">
        <w:t>d</w:t>
      </w:r>
      <w:r w:rsidR="00E3299C">
        <w:t xml:space="preserve"> attendees with a snapshot of the </w:t>
      </w:r>
      <w:r w:rsidR="007D2833">
        <w:t>C</w:t>
      </w:r>
      <w:r w:rsidR="00E3299C">
        <w:t>ity</w:t>
      </w:r>
      <w:r w:rsidR="006C5FD9">
        <w:t xml:space="preserve"> from a startup perspective.</w:t>
      </w:r>
      <w:r w:rsidR="00E3299C">
        <w:t xml:space="preserve"> </w:t>
      </w:r>
      <w:r w:rsidR="006C5FD9">
        <w:t>R</w:t>
      </w:r>
      <w:r w:rsidR="00E3299C">
        <w:t xml:space="preserve">ather than </w:t>
      </w:r>
      <w:r w:rsidR="006C5FD9">
        <w:t>reading</w:t>
      </w:r>
      <w:r w:rsidR="00E3299C">
        <w:t xml:space="preserve"> printed collateral</w:t>
      </w:r>
      <w:r w:rsidR="006C5FD9">
        <w:t>, attendees could scan a QR code and get an overview on their mobile devices</w:t>
      </w:r>
      <w:r w:rsidR="00E3299C">
        <w:t>. This decision not only helped</w:t>
      </w:r>
      <w:r>
        <w:t xml:space="preserve"> </w:t>
      </w:r>
      <w:r w:rsidR="00E3299C">
        <w:t>to reduce waste, but also showcased the City’s commitment to new platforms to network and share information.</w:t>
      </w:r>
    </w:p>
    <w:p w14:paraId="52353646" w14:textId="77777777" w:rsidR="007413F3" w:rsidRDefault="007413F3"/>
    <w:sectPr w:rsidR="00741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00EBE"/>
    <w:multiLevelType w:val="hybridMultilevel"/>
    <w:tmpl w:val="5DDC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1773"/>
    <w:multiLevelType w:val="hybridMultilevel"/>
    <w:tmpl w:val="6D84F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451F7"/>
    <w:multiLevelType w:val="hybridMultilevel"/>
    <w:tmpl w:val="8830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038EB"/>
    <w:multiLevelType w:val="hybridMultilevel"/>
    <w:tmpl w:val="8828F3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B2DA3"/>
    <w:multiLevelType w:val="multilevel"/>
    <w:tmpl w:val="03BA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66"/>
    <w:rsid w:val="000401A7"/>
    <w:rsid w:val="00097F25"/>
    <w:rsid w:val="000D2B17"/>
    <w:rsid w:val="001C37A7"/>
    <w:rsid w:val="001F4851"/>
    <w:rsid w:val="002F459C"/>
    <w:rsid w:val="00595961"/>
    <w:rsid w:val="006520FC"/>
    <w:rsid w:val="00681F99"/>
    <w:rsid w:val="006C5FD9"/>
    <w:rsid w:val="00705A6F"/>
    <w:rsid w:val="0070734C"/>
    <w:rsid w:val="007413F3"/>
    <w:rsid w:val="007D2833"/>
    <w:rsid w:val="00886FEC"/>
    <w:rsid w:val="00917306"/>
    <w:rsid w:val="00944053"/>
    <w:rsid w:val="00AA33DF"/>
    <w:rsid w:val="00B0393C"/>
    <w:rsid w:val="00BE6339"/>
    <w:rsid w:val="00CD2442"/>
    <w:rsid w:val="00D262F3"/>
    <w:rsid w:val="00D56D89"/>
    <w:rsid w:val="00D64266"/>
    <w:rsid w:val="00E247E3"/>
    <w:rsid w:val="00E3299C"/>
    <w:rsid w:val="00E540A1"/>
    <w:rsid w:val="00EF5C8A"/>
    <w:rsid w:val="00F05CE9"/>
    <w:rsid w:val="00F73D42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7ECE"/>
  <w15:chartTrackingRefBased/>
  <w15:docId w15:val="{B09B1E92-9167-402F-A018-4DEF6DA5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42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6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D24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CD2442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E247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B1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3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93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E6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mohawkcollege/" TargetMode="External"/><Relationship Id="rId13" Type="http://schemas.openxmlformats.org/officeDocument/2006/relationships/hyperlink" Target="https://investinhamilton.ca/blog/2022/06/23/omniabio-shares-expansion-to-the-city-of-hamilton-at-collision-confere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synapse-medical-communications/" TargetMode="External"/><Relationship Id="rId12" Type="http://schemas.openxmlformats.org/officeDocument/2006/relationships/hyperlink" Target="https://investinhamilton.ca/blog/2022/06/22/verificientopensofficeinhamilt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mcmaster-university/" TargetMode="External"/><Relationship Id="rId11" Type="http://schemas.openxmlformats.org/officeDocument/2006/relationships/hyperlink" Target="https://www.linkedin.com/company/forge-and-foster/" TargetMode="External"/><Relationship Id="rId5" Type="http://schemas.openxmlformats.org/officeDocument/2006/relationships/hyperlink" Target="https://investinhamilton.ca/collisio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company/gowlingwlghamilt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miphamilton/" TargetMode="External"/><Relationship Id="rId14" Type="http://schemas.openxmlformats.org/officeDocument/2006/relationships/hyperlink" Target="https://investinhamilton.ca/colli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Hamilton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Sokolowski, Stefa</dc:creator>
  <cp:keywords/>
  <dc:description/>
  <cp:lastModifiedBy>Sokolowski, Stefa</cp:lastModifiedBy>
  <cp:revision>8</cp:revision>
  <dcterms:created xsi:type="dcterms:W3CDTF">2022-08-04T18:20:00Z</dcterms:created>
  <dcterms:modified xsi:type="dcterms:W3CDTF">2022-08-11T19:10:00Z</dcterms:modified>
</cp:coreProperties>
</file>